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60"/>
        <w:jc w:val="center"/>
      </w:pPr>
      <w:r>
        <w:rPr>
          <w:rFonts w:ascii="Aptos" w:cs="Aptos" w:eastAsia="Aptos" w:hAnsi="Aptos"/>
          <w:b/>
          <w:bCs/>
          <w:color w:val="1E3A5F"/>
          <w:sz w:val="40"/>
          <w:szCs w:val="40"/>
        </w:rPr>
        <w:t xml:space="preserve">Flagship 365 Cohort Coaching Program</w:t>
      </w:r>
    </w:p>
    <w:p>
      <w:pPr>
        <w:spacing w:after="60"/>
        <w:jc w:val="left"/>
      </w:pPr>
      <w:r>
        <w:rPr>
          <w:rFonts w:ascii="Aptos" w:cs="Aptos" w:eastAsia="Aptos" w:hAnsi="Aptos"/>
        </w:rPr>
        <w:t xml:space="preserve">The Flagship 365 Cohort Coaching Program provides each member </w:t>
      </w:r>
      <w:r>
        <w:rPr>
          <w:rFonts w:ascii="Aptos" w:cs="Aptos" w:eastAsia="Aptos" w:hAnsi="Aptos"/>
          <w:b/>
          <w:bCs/>
        </w:rPr>
        <w:t xml:space="preserve">6 months of access</w:t>
      </w:r>
      <w:r>
        <w:rPr>
          <w:rFonts w:ascii="Aptos" w:cs="Aptos" w:eastAsia="Aptos" w:hAnsi="Aptos"/>
        </w:rPr>
        <w:t xml:space="preserve"> to the Supernova Coaching Platform. This is a small group learning experience, with each cohort limited to </w:t>
      </w:r>
      <w:r>
        <w:rPr>
          <w:rFonts w:ascii="Aptos" w:cs="Aptos" w:eastAsia="Aptos" w:hAnsi="Aptos"/>
          <w:b/>
          <w:bCs/>
        </w:rPr>
        <w:t xml:space="preserve">8 members</w:t>
      </w:r>
      <w:r>
        <w:rPr>
          <w:rFonts w:ascii="Aptos" w:cs="Aptos" w:eastAsia="Aptos" w:hAnsi="Aptos"/>
        </w:rPr>
        <w:t xml:space="preserve">, and a new cohort begins every </w:t>
      </w:r>
      <w:r>
        <w:rPr>
          <w:rFonts w:ascii="Aptos" w:cs="Aptos" w:eastAsia="Aptos" w:hAnsi="Aptos"/>
          <w:b/>
          <w:bCs/>
        </w:rPr>
        <w:t xml:space="preserve">4 weeks</w:t>
      </w:r>
      <w:r>
        <w:rPr>
          <w:rFonts w:ascii="Aptos" w:cs="Aptos" w:eastAsia="Aptos" w:hAnsi="Aptos"/>
        </w:rPr>
        <w:t xml:space="preserve">. Each cohort also receives </w:t>
      </w:r>
      <w:r>
        <w:rPr>
          <w:rFonts w:ascii="Aptos" w:cs="Aptos" w:eastAsia="Aptos" w:hAnsi="Aptos"/>
          <w:b/>
          <w:bCs/>
        </w:rPr>
        <w:t xml:space="preserve">12 live coaching calls</w:t>
      </w:r>
      <w:r>
        <w:rPr>
          <w:rFonts w:ascii="Aptos" w:cs="Aptos" w:eastAsia="Aptos" w:hAnsi="Aptos"/>
        </w:rPr>
        <w:t xml:space="preserve"> with a Supernova Coach over the course of the program.</w:t>
      </w:r>
    </w:p>
    <w:p>
      <w:pPr>
        <w:spacing w:after="40"/>
      </w:pPr>
      <w:r>
        <w:rPr>
          <w:rFonts w:ascii="Aptos" w:cs="Aptos" w:eastAsia="Aptos" w:hAnsi="Aptos"/>
        </w:rPr>
        <w:t xml:space="preserve">Each cohort begins with a </w:t>
      </w:r>
      <w:r>
        <w:rPr>
          <w:rFonts w:ascii="Aptos" w:cs="Aptos" w:eastAsia="Aptos" w:hAnsi="Aptos"/>
          <w:b/>
          <w:bCs/>
        </w:rPr>
        <w:t xml:space="preserve">Launch Week</w:t>
      </w:r>
      <w:r>
        <w:rPr>
          <w:rFonts w:ascii="Aptos" w:cs="Aptos" w:eastAsia="Aptos" w:hAnsi="Aptos"/>
        </w:rPr>
        <w:t xml:space="preserve"> consisting of 7 separate 30-minute learning sessions. The Live Launch Week Coaching Schedule will follow this cadence:</w:t>
      </w:r>
    </w:p>
    <w:p>
      <w:pPr>
        <w:spacing w:after="40" w:before="80"/>
      </w:pPr>
      <w:r>
        <w:rPr>
          <w:rFonts w:ascii="Aptos" w:cs="Aptos" w:eastAsia="Aptos" w:hAnsi="Aptos"/>
          <w:b/>
          <w:bCs/>
          <w:color w:val="1E3A5F"/>
          <w:sz w:val="26"/>
          <w:szCs w:val="26"/>
        </w:rPr>
        <w:t xml:space="preserve">Live - Launch Week Coaching Schedule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rPr>
          <w:tblHeader/>
        </w:trPr>
        <w:tc>
          <w:tcPr>
            <w:tcW w:type="dxa" w:w="2520"/>
            <w:tcBorders>
              <w:top w:val="single" w:color="CCCCCC" w:sz="4"/>
              <w:left w:val="single" w:color="CCCCCC" w:sz="4"/>
              <w:bottom w:val="single" w:color="CCCCCC" w:sz="4"/>
              <w:right w:val="single" w:color="CCCCCC" w:sz="4"/>
            </w:tcBorders>
            <w:shd w:fill="1E3A5F" w:color="auto" w:val="clear"/>
            <w:tcMar>
              <w:top w:type="dxa" w:w="120"/>
              <w:left w:type="dxa" w:w="120"/>
              <w:bottom w:type="dxa" w:w="120"/>
              <w:right w:type="dxa" w:w="120"/>
            </w:tcMar>
            <w:vAlign w:val="center"/>
          </w:tcPr>
          <w:p>
            <w:pPr>
              <w:jc w:val="center"/>
            </w:pPr>
            <w:r>
              <w:rPr>
                <w:rFonts w:ascii="Aptos" w:cs="Aptos" w:eastAsia="Aptos" w:hAnsi="Aptos"/>
                <w:b/>
                <w:bCs/>
                <w:color w:val="FFFFFF"/>
                <w:sz w:val="22"/>
                <w:szCs w:val="22"/>
              </w:rPr>
              <w:t xml:space="preserve">TUESDAY</w:t>
            </w:r>
          </w:p>
        </w:tc>
        <w:tc>
          <w:tcPr>
            <w:tcW w:type="dxa" w:w="2520"/>
            <w:tcBorders>
              <w:top w:val="single" w:color="CCCCCC" w:sz="4"/>
              <w:left w:val="single" w:color="CCCCCC" w:sz="4"/>
              <w:bottom w:val="single" w:color="CCCCCC" w:sz="4"/>
              <w:right w:val="single" w:color="CCCCCC" w:sz="4"/>
            </w:tcBorders>
            <w:shd w:fill="1E3A5F" w:color="auto" w:val="clear"/>
            <w:tcMar>
              <w:top w:type="dxa" w:w="120"/>
              <w:left w:type="dxa" w:w="120"/>
              <w:bottom w:type="dxa" w:w="120"/>
              <w:right w:type="dxa" w:w="120"/>
            </w:tcMar>
            <w:vAlign w:val="center"/>
          </w:tcPr>
          <w:p>
            <w:pPr>
              <w:jc w:val="center"/>
            </w:pPr>
            <w:r>
              <w:rPr>
                <w:rFonts w:ascii="Aptos" w:cs="Aptos" w:eastAsia="Aptos" w:hAnsi="Aptos"/>
                <w:b/>
                <w:bCs/>
                <w:color w:val="FFFFFF"/>
                <w:sz w:val="22"/>
                <w:szCs w:val="22"/>
              </w:rPr>
              <w:t xml:space="preserve">WEDNESDAY</w:t>
            </w:r>
          </w:p>
        </w:tc>
        <w:tc>
          <w:tcPr>
            <w:tcW w:type="dxa" w:w="2520"/>
            <w:tcBorders>
              <w:top w:val="single" w:color="CCCCCC" w:sz="4"/>
              <w:left w:val="single" w:color="CCCCCC" w:sz="4"/>
              <w:bottom w:val="single" w:color="CCCCCC" w:sz="4"/>
              <w:right w:val="single" w:color="CCCCCC" w:sz="4"/>
            </w:tcBorders>
            <w:shd w:fill="1E3A5F" w:color="auto" w:val="clear"/>
            <w:tcMar>
              <w:top w:type="dxa" w:w="120"/>
              <w:left w:type="dxa" w:w="120"/>
              <w:bottom w:type="dxa" w:w="120"/>
              <w:right w:type="dxa" w:w="120"/>
            </w:tcMar>
            <w:vAlign w:val="center"/>
          </w:tcPr>
          <w:p>
            <w:pPr>
              <w:jc w:val="center"/>
            </w:pPr>
            <w:r>
              <w:rPr>
                <w:rFonts w:ascii="Aptos" w:cs="Aptos" w:eastAsia="Aptos" w:hAnsi="Aptos"/>
                <w:b/>
                <w:bCs/>
                <w:color w:val="FFFFFF"/>
                <w:sz w:val="22"/>
                <w:szCs w:val="22"/>
              </w:rPr>
              <w:t xml:space="preserve">THURSDAY</w:t>
            </w:r>
          </w:p>
        </w:tc>
        <w:tc>
          <w:tcPr>
            <w:tcW w:type="dxa" w:w="2520"/>
            <w:tcBorders>
              <w:top w:val="single" w:color="CCCCCC" w:sz="4"/>
              <w:left w:val="single" w:color="CCCCCC" w:sz="4"/>
              <w:bottom w:val="single" w:color="CCCCCC" w:sz="4"/>
              <w:right w:val="single" w:color="CCCCCC" w:sz="4"/>
            </w:tcBorders>
            <w:shd w:fill="1E3A5F" w:color="auto" w:val="clear"/>
            <w:tcMar>
              <w:top w:type="dxa" w:w="120"/>
              <w:left w:type="dxa" w:w="120"/>
              <w:bottom w:type="dxa" w:w="120"/>
              <w:right w:type="dxa" w:w="120"/>
            </w:tcMar>
            <w:vAlign w:val="center"/>
          </w:tcPr>
          <w:p>
            <w:pPr>
              <w:jc w:val="center"/>
            </w:pPr>
            <w:r>
              <w:rPr>
                <w:rFonts w:ascii="Aptos" w:cs="Aptos" w:eastAsia="Aptos" w:hAnsi="Aptos"/>
                <w:b/>
                <w:bCs/>
                <w:color w:val="FFFFFF"/>
                <w:sz w:val="22"/>
                <w:szCs w:val="22"/>
              </w:rPr>
              <w:t xml:space="preserve">FRIDAY</w:t>
            </w:r>
          </w:p>
        </w:tc>
      </w:tr>
      <w:tr>
        <w:tc>
          <w:tcPr>
            <w:tcW w:type="dxa" w:w="2520"/>
            <w:tcBorders>
              <w:top w:val="single" w:color="CCCCCC" w:sz="4"/>
              <w:left w:val="single" w:color="CCCCCC" w:sz="4"/>
              <w:bottom w:val="single" w:color="CCCCCC" w:sz="4"/>
              <w:right w:val="single" w:color="CCCCCC" w:sz="4"/>
            </w:tcBorders>
            <w:shd w:fill="E8F4FA"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11:00 AM EST</w:t>
            </w:r>
          </w:p>
          <w:p>
            <w:pPr>
              <w:jc w:val="center"/>
            </w:pPr>
            <w:r>
              <w:rPr>
                <w:rFonts w:ascii="Aptos" w:cs="Aptos" w:eastAsia="Aptos" w:hAnsi="Aptos"/>
                <w:b/>
                <w:bCs/>
                <w:sz w:val="20"/>
                <w:szCs w:val="20"/>
              </w:rPr>
              <w:t xml:space="preserve">Blueprint &amp; Mindset</w:t>
            </w:r>
          </w:p>
        </w:tc>
        <w:tc>
          <w:tcPr>
            <w:tcW w:type="dxa" w:w="2520"/>
            <w:tcBorders>
              <w:top w:val="single" w:color="CCCCCC" w:sz="4"/>
              <w:left w:val="single" w:color="CCCCCC" w:sz="4"/>
              <w:bottom w:val="single" w:color="CCCCCC" w:sz="4"/>
              <w:right w:val="single" w:color="CCCCCC" w:sz="4"/>
            </w:tcBorders>
            <w:shd w:fill="E8F4FA"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11:00 AM EST</w:t>
            </w:r>
          </w:p>
          <w:p>
            <w:pPr>
              <w:jc w:val="center"/>
            </w:pPr>
            <w:r>
              <w:rPr>
                <w:rFonts w:ascii="Aptos" w:cs="Aptos" w:eastAsia="Aptos" w:hAnsi="Aptos"/>
                <w:b/>
                <w:bCs/>
                <w:sz w:val="20"/>
                <w:szCs w:val="20"/>
              </w:rPr>
              <w:t xml:space="preserve">Service</w:t>
            </w:r>
          </w:p>
        </w:tc>
        <w:tc>
          <w:tcPr>
            <w:tcW w:type="dxa" w:w="2520"/>
            <w:tcBorders>
              <w:top w:val="single" w:color="CCCCCC" w:sz="4"/>
              <w:left w:val="single" w:color="CCCCCC" w:sz="4"/>
              <w:bottom w:val="single" w:color="CCCCCC" w:sz="4"/>
              <w:right w:val="single" w:color="CCCCCC" w:sz="4"/>
            </w:tcBorders>
            <w:shd w:fill="E8F4FA"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11:00 AM EST</w:t>
            </w:r>
          </w:p>
          <w:p>
            <w:pPr>
              <w:jc w:val="center"/>
            </w:pPr>
            <w:r>
              <w:rPr>
                <w:rFonts w:ascii="Aptos" w:cs="Aptos" w:eastAsia="Aptos" w:hAnsi="Aptos"/>
                <w:b/>
                <w:bCs/>
                <w:sz w:val="20"/>
                <w:szCs w:val="20"/>
              </w:rPr>
              <w:t xml:space="preserve">Growth</w:t>
            </w:r>
          </w:p>
        </w:tc>
        <w:tc>
          <w:tcPr>
            <w:tcW w:type="dxa" w:w="2520"/>
            <w:tcBorders>
              <w:top w:val="single" w:color="CCCCCC" w:sz="4"/>
              <w:left w:val="single" w:color="CCCCCC" w:sz="4"/>
              <w:bottom w:val="single" w:color="CCCCCC" w:sz="4"/>
              <w:right w:val="single" w:color="CCCCCC" w:sz="4"/>
            </w:tcBorders>
            <w:shd w:fill="E8F4FA"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11:00 AM EST</w:t>
            </w:r>
          </w:p>
          <w:p>
            <w:pPr>
              <w:jc w:val="center"/>
            </w:pPr>
            <w:r>
              <w:rPr>
                <w:rFonts w:ascii="Aptos" w:cs="Aptos" w:eastAsia="Aptos" w:hAnsi="Aptos"/>
                <w:b/>
                <w:bCs/>
                <w:sz w:val="20"/>
                <w:szCs w:val="20"/>
              </w:rPr>
              <w:t xml:space="preserve">Execution Roadmap</w:t>
            </w:r>
          </w:p>
        </w:tc>
      </w:tr>
      <w:tr>
        <w:tc>
          <w:tcPr>
            <w:tcW w:type="dxa" w:w="2520"/>
            <w:tcBorders>
              <w:top w:val="single" w:color="CCCCCC" w:sz="4"/>
              <w:left w:val="single" w:color="CCCCCC" w:sz="4"/>
              <w:bottom w:val="single" w:color="CCCCCC" w:sz="4"/>
              <w:right w:val="single" w:color="CCCCCC" w:sz="4"/>
            </w:tcBorders>
            <w:shd w:fill="F5F5F5"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3:00 PM EST</w:t>
            </w:r>
          </w:p>
          <w:p>
            <w:pPr>
              <w:jc w:val="center"/>
            </w:pPr>
            <w:r>
              <w:rPr>
                <w:rFonts w:ascii="Aptos" w:cs="Aptos" w:eastAsia="Aptos" w:hAnsi="Aptos"/>
                <w:b/>
                <w:bCs/>
                <w:sz w:val="20"/>
                <w:szCs w:val="20"/>
              </w:rPr>
              <w:t xml:space="preserve">Balance</w:t>
            </w:r>
          </w:p>
        </w:tc>
        <w:tc>
          <w:tcPr>
            <w:tcW w:type="dxa" w:w="2520"/>
            <w:tcBorders>
              <w:top w:val="single" w:color="CCCCCC" w:sz="4"/>
              <w:left w:val="single" w:color="CCCCCC" w:sz="4"/>
              <w:bottom w:val="single" w:color="CCCCCC" w:sz="4"/>
              <w:right w:val="single" w:color="CCCCCC" w:sz="4"/>
            </w:tcBorders>
            <w:shd w:fill="F5F5F5"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3:00 PM EST</w:t>
            </w:r>
          </w:p>
          <w:p>
            <w:pPr>
              <w:jc w:val="center"/>
            </w:pPr>
            <w:r>
              <w:rPr>
                <w:rFonts w:ascii="Aptos" w:cs="Aptos" w:eastAsia="Aptos" w:hAnsi="Aptos"/>
                <w:b/>
                <w:bCs/>
                <w:sz w:val="20"/>
                <w:szCs w:val="20"/>
              </w:rPr>
              <w:t xml:space="preserve">Planning</w:t>
            </w:r>
          </w:p>
        </w:tc>
        <w:tc>
          <w:tcPr>
            <w:tcW w:type="dxa" w:w="2520"/>
            <w:tcBorders>
              <w:top w:val="single" w:color="CCCCCC" w:sz="4"/>
              <w:left w:val="single" w:color="CCCCCC" w:sz="4"/>
              <w:bottom w:val="single" w:color="CCCCCC" w:sz="4"/>
              <w:right w:val="single" w:color="CCCCCC" w:sz="4"/>
            </w:tcBorders>
            <w:shd w:fill="F5F5F5"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3:00 PM EST</w:t>
            </w:r>
          </w:p>
          <w:p>
            <w:pPr>
              <w:jc w:val="center"/>
            </w:pPr>
            <w:r>
              <w:rPr>
                <w:rFonts w:ascii="Aptos" w:cs="Aptos" w:eastAsia="Aptos" w:hAnsi="Aptos"/>
                <w:b/>
                <w:bCs/>
                <w:sz w:val="20"/>
                <w:szCs w:val="20"/>
              </w:rPr>
              <w:t xml:space="preserve">Leadership</w:t>
            </w:r>
          </w:p>
        </w:tc>
        <w:tc>
          <w:tcPr>
            <w:tcW w:type="dxa" w:w="2520"/>
            <w:tcBorders>
              <w:top w:val="single" w:color="CCCCCC" w:sz="4"/>
              <w:left w:val="single" w:color="CCCCCC" w:sz="4"/>
              <w:bottom w:val="single" w:color="CCCCCC" w:sz="4"/>
              <w:right w:val="single" w:color="CCCCCC" w:sz="4"/>
            </w:tcBorders>
            <w:shd w:fill="F5F5F5" w:color="auto" w:val="clear"/>
            <w:tcMar>
              <w:top w:type="dxa" w:w="80"/>
              <w:left w:type="dxa" w:w="120"/>
              <w:bottom w:type="dxa" w:w="80"/>
              <w:right w:type="dxa" w:w="120"/>
            </w:tcMar>
            <w:vAlign w:val="center"/>
          </w:tcPr>
          <w:p>
            <w:r>
              <w:rPr>
                <w:rFonts w:ascii="Aptos" w:cs="Aptos" w:eastAsia="Aptos" w:hAnsi="Aptos"/>
              </w:rPr>
              <w:t xml:space="preserve"/>
            </w:r>
          </w:p>
        </w:tc>
      </w:tr>
    </w:tbl>
    <w:p>
      <w:pPr>
        <w:spacing w:after="40" w:before="80"/>
      </w:pPr>
      <w:r>
        <w:rPr>
          <w:rFonts w:ascii="Aptos" w:cs="Aptos" w:eastAsia="Aptos" w:hAnsi="Aptos"/>
          <w:b/>
          <w:bCs/>
          <w:color w:val="1E3A5F"/>
          <w:sz w:val="26"/>
          <w:szCs w:val="26"/>
        </w:rPr>
        <w:t xml:space="preserve">Session Descriptions</w:t>
      </w:r>
    </w:p>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5040"/>
        <w:gridCol w:w="5040"/>
      </w:tblGrid>
      <w:tr>
        <w:tc>
          <w:tcPr>
            <w:tcW w:type="dxa" w:w="5040"/>
            <w:tcBorders>
              <w:top w:val="none" w:color="FFFFFF" w:sz="0"/>
              <w:left w:val="none" w:color="FFFFFF" w:sz="0"/>
              <w:bottom w:val="none" w:color="FFFFFF" w:sz="0"/>
              <w:right w:val="none" w:color="FFFFFF" w:sz="0"/>
            </w:tcBorders>
            <w:tcMar>
              <w:top w:type="dxa" w:w="60"/>
              <w:left w:type="dxa" w:w="60"/>
              <w:bottom w:type="dxa" w:w="60"/>
              <w:right w:type="dxa" w:w="120"/>
            </w:tcMar>
          </w:tcPr>
          <w:p>
            <w:pPr>
              <w:spacing w:after="20" w:before="20"/>
            </w:pPr>
            <w:r>
              <w:rPr>
                <w:rFonts w:ascii="Aptos" w:cs="Aptos" w:eastAsia="Aptos" w:hAnsi="Aptos"/>
                <w:b/>
                <w:bCs/>
                <w:sz w:val="19"/>
                <w:szCs w:val="19"/>
              </w:rPr>
              <w:t xml:space="preserve">Blueprint &amp; Mindset: </w:t>
            </w:r>
            <w:r>
              <w:rPr>
                <w:rFonts w:ascii="Aptos" w:cs="Aptos" w:eastAsia="Aptos" w:hAnsi="Aptos"/>
                <w:sz w:val="19"/>
                <w:szCs w:val="19"/>
              </w:rPr>
              <w:t xml:space="preserve">Stop the chaos and draw the blueprint for your future practice. Shift from “Operator” to “CEO” and begin segmentation.</w:t>
            </w:r>
          </w:p>
          <w:p>
            <w:pPr>
              <w:spacing w:after="20" w:before="20"/>
            </w:pPr>
            <w:r>
              <w:rPr>
                <w:rFonts w:ascii="Aptos" w:cs="Aptos" w:eastAsia="Aptos" w:hAnsi="Aptos"/>
                <w:b/>
                <w:bCs/>
                <w:sz w:val="19"/>
                <w:szCs w:val="19"/>
              </w:rPr>
              <w:t xml:space="preserve">Balance: </w:t>
            </w:r>
            <w:r>
              <w:rPr>
                <w:rFonts w:ascii="Aptos" w:cs="Aptos" w:eastAsia="Aptos" w:hAnsi="Aptos"/>
                <w:sz w:val="19"/>
                <w:szCs w:val="19"/>
              </w:rPr>
              <w:t xml:space="preserve">Master the mathematics of capacity. Design your Model Week—because if you don’t design your week, someone else will.</w:t>
            </w:r>
          </w:p>
          <w:p>
            <w:pPr>
              <w:spacing w:after="20" w:before="20"/>
            </w:pPr>
            <w:r>
              <w:rPr>
                <w:rFonts w:ascii="Aptos" w:cs="Aptos" w:eastAsia="Aptos" w:hAnsi="Aptos"/>
                <w:b/>
                <w:bCs/>
                <w:sz w:val="19"/>
                <w:szCs w:val="19"/>
              </w:rPr>
              <w:t xml:space="preserve">Service: </w:t>
            </w:r>
            <w:r>
              <w:rPr>
                <w:rFonts w:ascii="Aptos" w:cs="Aptos" w:eastAsia="Aptos" w:hAnsi="Aptos"/>
                <w:sz w:val="19"/>
                <w:szCs w:val="19"/>
              </w:rPr>
              <w:t xml:space="preserve">Install the legendary 12-4-2 Proactive Contact Model. Transform reactive service into a disciplined, proactive rhythm.</w:t>
            </w:r>
          </w:p>
          <w:p>
            <w:pPr>
              <w:spacing w:after="20" w:before="20"/>
            </w:pPr>
            <w:r>
              <w:rPr>
                <w:rFonts w:ascii="Aptos" w:cs="Aptos" w:eastAsia="Aptos" w:hAnsi="Aptos"/>
                <w:b/>
                <w:bCs/>
                <w:sz w:val="19"/>
                <w:szCs w:val="19"/>
              </w:rPr>
              <w:t xml:space="preserve">Planning: </w:t>
            </w:r>
            <w:r>
              <w:rPr>
                <w:rFonts w:ascii="Aptos" w:cs="Aptos" w:eastAsia="Aptos" w:hAnsi="Aptos"/>
                <w:sz w:val="19"/>
                <w:szCs w:val="19"/>
              </w:rPr>
              <w:t xml:space="preserve">Moving beyond investment management to provide comprehensive, life-centric financial planning that justifies your fees.</w:t>
            </w:r>
          </w:p>
        </w:tc>
        <w:tc>
          <w:tcPr>
            <w:tcW w:type="dxa" w:w="5040"/>
            <w:tcBorders>
              <w:top w:val="none" w:color="FFFFFF" w:sz="0"/>
              <w:left w:val="none" w:color="FFFFFF" w:sz="0"/>
              <w:bottom w:val="none" w:color="FFFFFF" w:sz="0"/>
              <w:right w:val="none" w:color="FFFFFF" w:sz="0"/>
            </w:tcBorders>
            <w:tcMar>
              <w:top w:type="dxa" w:w="60"/>
              <w:left w:type="dxa" w:w="120"/>
              <w:bottom w:type="dxa" w:w="60"/>
              <w:right w:type="dxa" w:w="60"/>
            </w:tcMar>
          </w:tcPr>
          <w:p>
            <w:pPr>
              <w:spacing w:after="20" w:before="20"/>
            </w:pPr>
            <w:r>
              <w:rPr>
                <w:rFonts w:ascii="Aptos" w:cs="Aptos" w:eastAsia="Aptos" w:hAnsi="Aptos"/>
                <w:b/>
                <w:bCs/>
                <w:sz w:val="19"/>
                <w:szCs w:val="19"/>
              </w:rPr>
              <w:t xml:space="preserve">Growth: </w:t>
            </w:r>
            <w:r>
              <w:rPr>
                <w:rFonts w:ascii="Aptos" w:cs="Aptos" w:eastAsia="Aptos" w:hAnsi="Aptos"/>
                <w:sz w:val="19"/>
                <w:szCs w:val="19"/>
              </w:rPr>
              <w:t xml:space="preserve">Replace “hope marketing” with a systematic acquisition engine designed to attract your ideal clients predictably.</w:t>
            </w:r>
          </w:p>
          <w:p>
            <w:pPr>
              <w:spacing w:after="20" w:before="20"/>
            </w:pPr>
            <w:r>
              <w:rPr>
                <w:rFonts w:ascii="Aptos" w:cs="Aptos" w:eastAsia="Aptos" w:hAnsi="Aptos"/>
                <w:b/>
                <w:bCs/>
                <w:sz w:val="19"/>
                <w:szCs w:val="19"/>
              </w:rPr>
              <w:t xml:space="preserve">Leadership: </w:t>
            </w:r>
            <w:r>
              <w:rPr>
                <w:rFonts w:ascii="Aptos" w:cs="Aptos" w:eastAsia="Aptos" w:hAnsi="Aptos"/>
                <w:sz w:val="19"/>
                <w:szCs w:val="19"/>
              </w:rPr>
              <w:t xml:space="preserve">Structuring your ‘Five Star’ team and building the culture required to scale without YOU being the bottleneck.</w:t>
            </w:r>
          </w:p>
          <w:p>
            <w:pPr>
              <w:spacing w:after="20" w:before="20"/>
            </w:pPr>
            <w:r>
              <w:rPr>
                <w:rFonts w:ascii="Aptos" w:cs="Aptos" w:eastAsia="Aptos" w:hAnsi="Aptos"/>
                <w:b/>
                <w:bCs/>
                <w:sz w:val="19"/>
                <w:szCs w:val="19"/>
              </w:rPr>
              <w:t xml:space="preserve">Execution Roadmap: </w:t>
            </w:r>
            <w:r>
              <w:rPr>
                <w:rFonts w:ascii="Aptos" w:cs="Aptos" w:eastAsia="Aptos" w:hAnsi="Aptos"/>
                <w:sz w:val="19"/>
                <w:szCs w:val="19"/>
              </w:rPr>
              <w:t xml:space="preserve">This is where we pull all the Pillars together and ensure you are on a successful path to execution.</w:t>
            </w:r>
          </w:p>
        </w:tc>
      </w:tr>
    </w:tbl>
    <w:p>
      <w:pPr>
        <w:spacing w:after="40" w:before="80"/>
      </w:pPr>
      <w:r>
        <w:rPr>
          <w:rFonts w:ascii="Aptos" w:cs="Aptos" w:eastAsia="Aptos" w:hAnsi="Aptos"/>
          <w:b/>
          <w:bCs/>
          <w:color w:val="1E3A5F"/>
          <w:sz w:val="26"/>
          <w:szCs w:val="26"/>
        </w:rPr>
        <w:t xml:space="preserve">Live Coaching Sessions</w:t>
      </w:r>
    </w:p>
    <w:p>
      <w:pPr>
        <w:spacing w:after="60"/>
      </w:pPr>
      <w:r>
        <w:rPr>
          <w:rFonts w:ascii="Aptos" w:cs="Aptos" w:eastAsia="Aptos" w:hAnsi="Aptos"/>
        </w:rPr>
        <w:t xml:space="preserve">Beginning the week after Launch Week, each cohort will also receive </w:t>
      </w:r>
      <w:r>
        <w:rPr>
          <w:rFonts w:ascii="Aptos" w:cs="Aptos" w:eastAsia="Aptos" w:hAnsi="Aptos"/>
          <w:b/>
          <w:bCs/>
        </w:rPr>
        <w:t xml:space="preserve">12 live coaching calls</w:t>
      </w:r>
      <w:r>
        <w:rPr>
          <w:rFonts w:ascii="Aptos" w:cs="Aptos" w:eastAsia="Aptos" w:hAnsi="Aptos"/>
        </w:rPr>
        <w:t xml:space="preserve"> with a Supernova Coach, held </w:t>
      </w:r>
      <w:r>
        <w:rPr>
          <w:rFonts w:ascii="Aptos" w:cs="Aptos" w:eastAsia="Aptos" w:hAnsi="Aptos"/>
          <w:b/>
          <w:bCs/>
        </w:rPr>
        <w:t xml:space="preserve">biweekly</w:t>
      </w:r>
      <w:r>
        <w:rPr>
          <w:rFonts w:ascii="Aptos" w:cs="Aptos" w:eastAsia="Aptos" w:hAnsi="Aptos"/>
        </w:rPr>
        <w:t xml:space="preserve"> for the remainder of the 6-month program. These sessions give advisors dedicated time to ask their coach questions about the curriculum as they progress through the Supernova Flagship 365 Cohort Coaching Program.</w:t>
      </w:r>
    </w:p>
    <w:p>
      <w:pPr>
        <w:spacing w:after="40" w:before="80"/>
      </w:pPr>
      <w:r>
        <w:rPr>
          <w:rFonts w:ascii="Aptos" w:cs="Aptos" w:eastAsia="Aptos" w:hAnsi="Aptos"/>
          <w:b/>
          <w:bCs/>
          <w:color w:val="1E3A5F"/>
          <w:sz w:val="26"/>
          <w:szCs w:val="26"/>
        </w:rPr>
        <w:t xml:space="preserve">Platform Access &amp; Resources</w:t>
      </w:r>
    </w:p>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3360"/>
        <w:gridCol w:w="3360"/>
        <w:gridCol w:w="3360"/>
      </w:tblGrid>
      <w:tr>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Flagship 365 Curriculum</w:t>
            </w:r>
          </w:p>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Flagship 365 FA Guide</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Tools, Templates &amp; Scripts</w:t>
            </w:r>
          </w:p>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DM &amp; Community Support</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Supernova Consulting App (Desktop &amp; Mobile)</w:t>
            </w:r>
          </w:p>
        </w:tc>
      </w:tr>
    </w:tbl>
    <w:p>
      <w:pPr>
        <w:spacing w:after="40" w:before="80"/>
      </w:pPr>
      <w:r>
        <w:rPr>
          <w:rFonts w:ascii="Aptos" w:cs="Aptos" w:eastAsia="Aptos" w:hAnsi="Aptos"/>
          <w:b/>
          <w:bCs/>
          <w:color w:val="1E3A5F"/>
          <w:sz w:val="26"/>
          <w:szCs w:val="26"/>
        </w:rPr>
        <w:t xml:space="preserve">Supernova Advisor Community</w:t>
      </w:r>
    </w:p>
    <w:p>
      <w:pPr>
        <w:spacing w:after="80"/>
      </w:pPr>
      <w:r>
        <w:rPr>
          <w:rFonts w:ascii="Aptos" w:cs="Aptos" w:eastAsia="Aptos" w:hAnsi="Aptos"/>
        </w:rPr>
        <w:t xml:space="preserve">The Supernova Advisor Community is the leading platform connecting Financial Advisors across all channels of the Wealth Management industry. While you are enrolled in the Flagship 365 Coaching, you will receive complimentary access to this exclusive community.</w:t>
      </w:r>
    </w:p>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3360"/>
        <w:gridCol w:w="3360"/>
        <w:gridCol w:w="3360"/>
      </w:tblGrid>
      <w:tr>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Asset Vault</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Live Events</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Advisor to Advisor Chat</w:t>
            </w:r>
          </w:p>
        </w:tc>
      </w:tr>
    </w:tbl>
    <w:p>
      <w:pPr>
        <w:spacing w:after="40" w:before="80"/>
      </w:pPr>
      <w:r>
        <w:rPr>
          <w:rFonts w:ascii="Aptos" w:cs="Aptos" w:eastAsia="Aptos" w:hAnsi="Aptos"/>
          <w:b/>
          <w:bCs/>
          <w:color w:val="1E3A5F"/>
          <w:sz w:val="26"/>
          <w:szCs w:val="26"/>
        </w:rPr>
        <w:t xml:space="preserve">Why Advisors Choose the Cohort Experience</w:t>
      </w:r>
    </w:p>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3360"/>
        <w:gridCol w:w="3360"/>
        <w:gridCol w:w="3360"/>
      </w:tblGrid>
      <w:tr>
        <w:tc>
          <w:tcPr>
            <w:tcW w:type="dxa" w:w="3360"/>
            <w:tcBorders>
              <w:top w:val="none" w:color="FFFFFF" w:sz="0"/>
              <w:left w:val="none" w:color="FFFFFF" w:sz="0"/>
              <w:bottom w:val="none" w:color="FFFFFF" w:sz="0"/>
              <w:right w:val="none" w:color="FFFFFF" w:sz="0"/>
            </w:tcBorders>
            <w:tcMar>
              <w:top w:type="dxa" w:w="40"/>
              <w:left w:type="dxa" w:w="60"/>
              <w:bottom w:type="dxa" w:w="40"/>
              <w:right w:type="dxa" w:w="120"/>
            </w:tcMar>
          </w:tcPr>
          <w:p>
            <w:pPr>
              <w:spacing w:after="20"/>
            </w:pPr>
            <w:r>
              <w:rPr>
                <w:rFonts w:ascii="Aptos" w:cs="Aptos" w:eastAsia="Aptos" w:hAnsi="Aptos"/>
                <w:b/>
                <w:bCs/>
                <w:i/>
                <w:iCs/>
                <w:color w:val="1E3A5F"/>
                <w:sz w:val="20"/>
                <w:szCs w:val="20"/>
              </w:rPr>
              <w:t xml:space="preserve">Learn With Peers:</w:t>
            </w:r>
          </w:p>
          <w:p>
            <w:r>
              <w:rPr>
                <w:rFonts w:ascii="Aptos" w:cs="Aptos" w:eastAsia="Aptos" w:hAnsi="Aptos"/>
                <w:sz w:val="19"/>
                <w:szCs w:val="19"/>
              </w:rPr>
              <w:t xml:space="preserve">See how other advisors solve the same challenges you face. The cohort creates momentum and shared learning.</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120"/>
            </w:tcMar>
          </w:tcPr>
          <w:p>
            <w:pPr>
              <w:spacing w:after="20"/>
            </w:pPr>
            <w:r>
              <w:rPr>
                <w:rFonts w:ascii="Aptos" w:cs="Aptos" w:eastAsia="Aptos" w:hAnsi="Aptos"/>
                <w:b/>
                <w:bCs/>
                <w:i/>
                <w:iCs/>
                <w:color w:val="1E3A5F"/>
                <w:sz w:val="20"/>
                <w:szCs w:val="20"/>
              </w:rPr>
              <w:t xml:space="preserve">Expert Coaching:</w:t>
            </w:r>
          </w:p>
          <w:p>
            <w:r>
              <w:rPr>
                <w:rFonts w:ascii="Aptos" w:cs="Aptos" w:eastAsia="Aptos" w:hAnsi="Aptos"/>
                <w:sz w:val="19"/>
                <w:szCs w:val="19"/>
              </w:rPr>
              <w:t xml:space="preserve">Our coaches are former Financial Advisors and Senior Leaders who understand your world firsthand.</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120"/>
            </w:tcMar>
          </w:tcPr>
          <w:p>
            <w:pPr>
              <w:spacing w:after="20"/>
            </w:pPr>
            <w:r>
              <w:rPr>
                <w:rFonts w:ascii="Aptos" w:cs="Aptos" w:eastAsia="Aptos" w:hAnsi="Aptos"/>
                <w:b/>
                <w:bCs/>
                <w:i/>
                <w:iCs/>
                <w:color w:val="1E3A5F"/>
                <w:sz w:val="20"/>
                <w:szCs w:val="20"/>
              </w:rPr>
              <w:t xml:space="preserve">Proven Results:</w:t>
            </w:r>
          </w:p>
          <w:p>
            <w:r>
              <w:rPr>
                <w:rFonts w:ascii="Aptos" w:cs="Aptos" w:eastAsia="Aptos" w:hAnsi="Aptos"/>
                <w:sz w:val="19"/>
                <w:szCs w:val="19"/>
              </w:rPr>
              <w:t xml:space="preserve">Harvard Business School studied. Refined by thousands of advisors over three decades.</w:t>
            </w:r>
          </w:p>
        </w:tc>
      </w:tr>
    </w:tbl>
    <w:p>
      <w:pPr>
        <w:spacing w:after="0" w:before="0" w:line="200" w:lineRule="exact"/>
      </w:pPr>
      <w:r>
        <w:rPr>
          <w:rFonts w:ascii="Aptos" w:cs="Aptos" w:eastAsia="Aptos" w:hAnsi="Aptos"/>
          <w:sz w:val="2"/>
          <w:szCs w:val="2"/>
        </w:rPr>
        <w:t xml:space="preserve"/>
      </w:r>
    </w:p>
    <w:sectPr>
      <w:headerReference w:type="default" r:id="rId7"/>
      <w:footerReference w:type="default" r:id="rId8"/>
      <w:pgSz w:w="12240" w:h="15840" w:orient="portrait"/>
      <w:pgMar w:top="720" w:right="720" w:bottom="720" w:left="720" w:header="360"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drawing>
        <wp:anchor distT="0" distB="0" distL="0" distR="0" simplePos="0" allowOverlap="1" behindDoc="0" locked="0" layoutInCell="1" relativeHeight="285750">
          <wp:simplePos x="0" y="0"/>
          <wp:positionH relativeFrom="page">
            <wp:posOffset>7162800</wp:posOffset>
          </wp:positionH>
          <wp:positionV relativeFrom="page">
            <wp:posOffset>9448800</wp:posOffset>
          </wp:positionV>
          <wp:extent cx="285750" cy="285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 cy="285750"/>
                  </a:xfrm>
                  <a:prstGeom prst="rect">
                    <a:avLst/>
                  </a:prstGeom>
                </pic:spPr>
              </pic:pic>
            </a:graphicData>
          </a:graphic>
        </wp:anchor>
      </w:drawing>
    </w:r>
    <w:r>
      <w:rPr>
        <w:rFonts w:ascii="Aptos" w:cs="Aptos" w:eastAsia="Aptos" w:hAnsi="Aptos"/>
        <w:color w:val="666666"/>
        <w:sz w:val="18"/>
        <w:szCs w:val="18"/>
      </w:rPr>
      <w:t xml:space="preserve">supernovaconsulting.com  │  (866) 448-7858  │  contact@supernovaconsulting.com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drawing>
        <wp:inline distT="0" distB="0" distL="0" distR="0">
          <wp:extent cx="2667000" cy="447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6670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cs="Aptos" w:eastAsia="Aptos" w:hAnsi="Aptos"/>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c6868882d5b799c55b810c9516acac483b94351a.jp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6745c49a07712cc70d194918443152a2c6d5b1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2026-04-30T20:55:02.888Z</dcterms:created>
  <dcterms:modified xsi:type="dcterms:W3CDTF">2026-04-30T20:55:02.890Z</dcterms:modified>
</cp:coreProperties>
</file>

<file path=docProps/custom.xml><?xml version="1.0" encoding="utf-8"?>
<Properties xmlns="http://schemas.openxmlformats.org/officeDocument/2006/custom-properties" xmlns:vt="http://schemas.openxmlformats.org/officeDocument/2006/docPropsVTypes"/>
</file>